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433" w:rsidRDefault="00101433" w:rsidP="00101433">
      <w:pPr>
        <w:tabs>
          <w:tab w:val="left" w:pos="0"/>
        </w:tabs>
        <w:jc w:val="both"/>
        <w:rPr>
          <w:b/>
          <w:bCs/>
          <w:lang w:val="kk-KZ"/>
        </w:rPr>
      </w:pPr>
      <w:r>
        <w:rPr>
          <w:b/>
          <w:bCs/>
        </w:rPr>
        <w:t>Лекция 1</w:t>
      </w:r>
      <w:r>
        <w:rPr>
          <w:b/>
          <w:bCs/>
        </w:rPr>
        <w:t>2</w:t>
      </w:r>
      <w:r>
        <w:rPr>
          <w:b/>
          <w:bCs/>
        </w:rPr>
        <w:t xml:space="preserve">. </w:t>
      </w:r>
      <w:r>
        <w:rPr>
          <w:b/>
          <w:bCs/>
          <w:lang w:val="kk-KZ"/>
        </w:rPr>
        <w:t>Проектирование подземной водоотводной системы.</w:t>
      </w:r>
    </w:p>
    <w:p w:rsidR="00101433" w:rsidRDefault="00101433" w:rsidP="00101433">
      <w:pPr>
        <w:pStyle w:val="2"/>
        <w:tabs>
          <w:tab w:val="num" w:pos="720"/>
        </w:tabs>
        <w:spacing w:after="0" w:line="240" w:lineRule="auto"/>
        <w:ind w:left="0"/>
        <w:jc w:val="both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Закономерности изменения уровнеи грунтовых вод, гидроизогипсы. Классификация дренажей</w:t>
      </w:r>
      <w:r>
        <w:rPr>
          <w:rFonts w:hint="cs"/>
          <w:b/>
          <w:bCs/>
          <w:sz w:val="28"/>
          <w:szCs w:val="28"/>
          <w:rtl/>
          <w:lang w:val="kk-KZ" w:bidi="he-IL"/>
        </w:rPr>
        <w:t>׃</w:t>
      </w:r>
      <w:r>
        <w:rPr>
          <w:b/>
          <w:bCs/>
          <w:sz w:val="28"/>
          <w:szCs w:val="28"/>
          <w:lang w:val="kk-KZ"/>
        </w:rPr>
        <w:t xml:space="preserve"> поперечные, вертикальные,смешанные, совершенствованные, неусовершенствован-ные, закюветные, подкюветные, откосные. </w:t>
      </w:r>
    </w:p>
    <w:p w:rsidR="00101433" w:rsidRDefault="00101433" w:rsidP="00101433">
      <w:pPr>
        <w:jc w:val="both"/>
        <w:rPr>
          <w:b/>
          <w:bCs/>
          <w:lang w:val="kk-KZ"/>
        </w:rPr>
      </w:pP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>1</w:t>
      </w:r>
      <w:r>
        <w:t>1</w:t>
      </w:r>
      <w:r>
        <w:rPr>
          <w:lang w:val="kk-KZ"/>
        </w:rPr>
        <w:t>. ПРОЕКТИРОВАНИЕ ПОДЗЕМНОЙ ВОДООТВОДНОЙ СИСТЕМЫ.</w:t>
      </w:r>
    </w:p>
    <w:p w:rsidR="00101433" w:rsidRDefault="00101433" w:rsidP="00101433">
      <w:pPr>
        <w:jc w:val="both"/>
        <w:rPr>
          <w:b/>
          <w:bCs/>
          <w:lang w:val="kk-KZ"/>
        </w:rPr>
      </w:pPr>
      <w:r>
        <w:rPr>
          <w:b/>
          <w:bCs/>
          <w:lang w:val="kk-KZ"/>
        </w:rPr>
        <w:t>1</w:t>
      </w:r>
      <w:r>
        <w:rPr>
          <w:b/>
          <w:bCs/>
        </w:rPr>
        <w:t>1</w:t>
      </w:r>
      <w:r>
        <w:rPr>
          <w:b/>
          <w:bCs/>
          <w:lang w:val="kk-KZ"/>
        </w:rPr>
        <w:t>.1 Закономерности изменения уровнеи грунтовых вод, гидроизогипсы.</w:t>
      </w:r>
    </w:p>
    <w:p w:rsidR="00101433" w:rsidRDefault="00101433" w:rsidP="00101433">
      <w:pPr>
        <w:jc w:val="both"/>
        <w:rPr>
          <w:lang w:val="kk-KZ"/>
        </w:rPr>
      </w:pPr>
    </w:p>
    <w:p w:rsidR="00101433" w:rsidRDefault="00101433" w:rsidP="00101433">
      <w:pPr>
        <w:jc w:val="both"/>
      </w:pPr>
      <w:r>
        <w:t xml:space="preserve">      Глубина соотношения прочности горных выработок в почве треугольника 0,3 м внутренняя осадка 1: 3 и наружное отношение 1:1-1: 0,5.</w:t>
      </w:r>
    </w:p>
    <w:p w:rsidR="00101433" w:rsidRDefault="00101433" w:rsidP="00101433">
      <w:pPr>
        <w:jc w:val="both"/>
      </w:pPr>
      <w:r>
        <w:t xml:space="preserve">     При проектировании водонепроницаемых канав учитывается элемент земляного полотна, возможность увеличения расчета расходов воды.</w:t>
      </w:r>
    </w:p>
    <w:p w:rsidR="00101433" w:rsidRDefault="00101433" w:rsidP="00101433">
      <w:pPr>
        <w:jc w:val="both"/>
      </w:pPr>
      <w:r>
        <w:t xml:space="preserve">Для быстрой подачи воды боковые канавы имеют продольный уклон, т. е. I-III-III-климатическая зона должна быть не ниже 5‰ и IV-V-3‰. Если это требование не может быть удовлетворено, количество отвалов в зоне высоты воды должно быть увеличено в соответствии с специальным заданным. В соответствии с </w:t>
      </w:r>
      <w:proofErr w:type="spellStart"/>
      <w:r>
        <w:t>гидравическими</w:t>
      </w:r>
      <w:proofErr w:type="spellEnd"/>
      <w:r>
        <w:t xml:space="preserve"> расчетами повышаем прочность местности.</w:t>
      </w:r>
    </w:p>
    <w:p w:rsidR="00101433" w:rsidRDefault="00101433" w:rsidP="00101433">
      <w:r>
        <w:rPr>
          <w:noProof/>
          <w:color w:val="000000"/>
        </w:rPr>
        <w:drawing>
          <wp:inline distT="0" distB="0" distL="0" distR="0">
            <wp:extent cx="4686300" cy="13811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Рисунок 11.1 графики, отражающие время стока воды.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а - талые и дождевые воды,поступающие в кюветы; б, в - трубопроводы и небольшие мосты; г-талые и дождевые воды из больших зон района.</w:t>
      </w:r>
    </w:p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rPr>
          <w:b/>
          <w:lang w:val="kk-KZ"/>
        </w:rPr>
      </w:pPr>
      <w:r>
        <w:rPr>
          <w:b/>
          <w:lang w:val="kk-KZ"/>
        </w:rPr>
        <w:t xml:space="preserve">                                             1</w:t>
      </w:r>
      <w:r>
        <w:rPr>
          <w:b/>
        </w:rPr>
        <w:t>1</w:t>
      </w:r>
      <w:r>
        <w:rPr>
          <w:b/>
          <w:lang w:val="kk-KZ"/>
        </w:rPr>
        <w:t xml:space="preserve">.2 </w:t>
      </w:r>
      <w:r>
        <w:rPr>
          <w:b/>
        </w:rPr>
        <w:t>Г</w:t>
      </w:r>
      <w:r>
        <w:rPr>
          <w:b/>
          <w:lang w:val="kk-KZ"/>
        </w:rPr>
        <w:t>орные канавы.</w:t>
      </w:r>
    </w:p>
    <w:p w:rsidR="00101433" w:rsidRDefault="00101433" w:rsidP="00101433">
      <w:pPr>
        <w:rPr>
          <w:b/>
          <w:lang w:val="kk-KZ"/>
        </w:rPr>
      </w:pP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Горные арыки служат для снижения рельефа местности и доставки к ближайшим искусственным сооружениям, с остановкой вод на откосных путях.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Горные овраги характерны для трапеционного поперечного сечения, то есть обосновывают их гидравлическими расчетами. В длинных канавах учитывается количество сокращений в водотоках; поэтому пересечение горной канавы обычно отбирается по площади водосборных бассейнов.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Горизонтальный уклон горной канавы на местности обусловлен тем, что вода не оборачивается за основу. 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    При расположении вод основания выше, насыпь на такой высоте, дорожное покрытие снижает увлажнение.</w:t>
      </w:r>
    </w:p>
    <w:p w:rsidR="00101433" w:rsidRDefault="00101433" w:rsidP="0010143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inherit" w:hAnsi="inherit" w:cs="Courier New"/>
          <w:color w:val="222222"/>
          <w:szCs w:val="42"/>
        </w:rPr>
      </w:pPr>
      <w:r>
        <w:rPr>
          <w:rFonts w:ascii="inherit" w:hAnsi="inherit" w:cs="Courier New"/>
          <w:color w:val="222222"/>
          <w:szCs w:val="42"/>
        </w:rPr>
        <w:t>Когда базовая вода высокая, крыша на такой высоте снижает влажность поверхности дороги.</w:t>
      </w:r>
      <w:bookmarkStart w:id="0" w:name="_GoBack"/>
      <w:bookmarkEnd w:id="0"/>
    </w:p>
    <w:p w:rsidR="00101433" w:rsidRDefault="00101433" w:rsidP="0010143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inherit" w:hAnsi="inherit" w:cs="Courier New"/>
          <w:color w:val="222222"/>
          <w:szCs w:val="42"/>
        </w:rPr>
      </w:pPr>
      <w:r>
        <w:rPr>
          <w:rFonts w:ascii="inherit" w:hAnsi="inherit" w:cs="Courier New"/>
          <w:color w:val="222222"/>
          <w:szCs w:val="42"/>
        </w:rPr>
        <w:lastRenderedPageBreak/>
        <w:t>Сухая вода (рис. 11.2) глубоко расположена в основании основания трубы (закрытый водяной насос) или фанерного основания, уплотненного крупными наполнителями (открытая сушилка).</w:t>
      </w:r>
    </w:p>
    <w:p w:rsidR="00101433" w:rsidRDefault="00101433" w:rsidP="00101433">
      <w:pPr>
        <w:rPr>
          <w:lang w:val="kk-KZ"/>
        </w:rPr>
      </w:pPr>
      <w:r>
        <w:rPr>
          <w:noProof/>
          <w:color w:val="000000"/>
        </w:rPr>
        <w:drawing>
          <wp:inline distT="0" distB="0" distL="0" distR="0">
            <wp:extent cx="4448175" cy="2667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Рисунок 11.3 схема закрытого дренажа: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а-полна камня; б - дренажной трубой; 1 - уплотненной глиной; 2-двухслойной швы или толщиной 3 см. грунт, обработанный битумом; 3-песок, 4 - щебень или щебень; 5 - крупногабаритный или щебень; 6 - гравий, смоченный в грунт; 7 - керамическая или асбоцемнтная труба; 8 - кривой депрессии; 9-водная стойка.</w:t>
      </w:r>
    </w:p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Закрытый осушитель (или осушительное сечение) состоит из дренажа на основе - трубопроводы (асбоцементы, керамические, бетонные или деревянные), на узловые части вода подается в открытом виде.  Для предотвращения засорения труб грунтом узлы оборудуют фильтрующими насыпями, поэтому его крупность снижается по направлению стенки котлованов. Пористая насыпь собирает воду основания, проникающую в глубокую глубину. Для предотвращения стока сточных вод в сторону обочин, а также для снижения уровня грунтовых вод допускается использование осушителей. В последнее время чаще всего используются дренажные плиты, проемы в склонах.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 К системе водоотведения на путях можно отнести регулирующий слой, который изготавливается из песка, щебня и других крупных водосборных материалов, т. е. они проникают через трещины или швы на покрытии.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Весной на сыпучие части собираются капли воды, собранные в течение зимы.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>Песчаные слои образуются в лесных и лесостепных зонах избыточное увлажнение на сухих основаниях,и в других зонах-в некоторых местах-постоянное увлажнение.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lastRenderedPageBreak/>
        <w:t>Для этого необходимо использовать два вида дренажных пластов: рассчитано на накопление воды, поступающей в дренажные устройства; основано на распределении всех паров вод в песке в период растворения 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Коэффициент фильтрации структуры песчаных материалов в климатическом районе строительства и зависимости ширины частиц не должен превышать 3-10 м/сут.</w:t>
      </w: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Отвалы в песчаных пластах с благоприятными гидрологическими условиями иногда используются вместо дренажных фильтров, которые изготавливаются из материалов, осушенных на качественном уровне (щебень одного размера), то есть воды протекают по уровню основы. Дренаж устраивают в шахматном порядке на перегонах сечением воронки 0,4х0,2 м и 4-6 м. 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(рис. 11.4)</w:t>
      </w:r>
    </w:p>
    <w:p w:rsidR="00101433" w:rsidRDefault="00101433" w:rsidP="00101433">
      <w:pPr>
        <w:rPr>
          <w:lang w:val="kk-KZ"/>
        </w:rPr>
      </w:pPr>
      <w:r>
        <w:rPr>
          <w:noProof/>
          <w:color w:val="000000"/>
        </w:rPr>
        <w:drawing>
          <wp:inline distT="0" distB="0" distL="0" distR="0">
            <wp:extent cx="4800600" cy="2295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Рисунок 11.4-дренажные воронки: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а-изображение вдоль дороги; б-сопряжение воронки с слоем песка по маленькому продольному наклону; в-еще одна на больших продольных наклонах дороги;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>1-ямочный или мховой слой; 2 - щебень или щебень; 3-дорожное покрытие.</w:t>
      </w:r>
    </w:p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Дренажные воронки на протяжении многих лет использовались с целью поглощения воды на песчаной основе. При использовании такого метода накопление воды требует значительного времени. На зиму вдоль дорог, покрытых толстым слоем снега, в течение недели по сравнению с деталями основания начинает таять позже.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746"/>
        <w:gridCol w:w="4609"/>
      </w:tblGrid>
      <w:tr w:rsidR="00101433" w:rsidTr="00101433">
        <w:tc>
          <w:tcPr>
            <w:tcW w:w="0" w:type="auto"/>
            <w:hideMark/>
          </w:tcPr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noProof/>
                <w:color w:val="000000"/>
              </w:rPr>
              <w:lastRenderedPageBreak/>
              <w:drawing>
                <wp:inline distT="0" distB="0" distL="0" distR="0">
                  <wp:extent cx="2867025" cy="229552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101433" w:rsidRDefault="00101433">
            <w:pPr>
              <w:pStyle w:val="HTML"/>
              <w:shd w:val="clear" w:color="auto" w:fill="F8F9FA"/>
              <w:spacing w:line="540" w:lineRule="atLeast"/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</w:pPr>
            <w:r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  <w:t>Рисунок 4.4 Пескоструйная обработка дренажных труб:</w:t>
            </w:r>
          </w:p>
          <w:p w:rsidR="00101433" w:rsidRDefault="00101433">
            <w:pPr>
              <w:pStyle w:val="HTML"/>
              <w:shd w:val="clear" w:color="auto" w:fill="F8F9FA"/>
              <w:spacing w:line="540" w:lineRule="atLeast"/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</w:pPr>
            <w:r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  <w:t>а - продольная трубка слива; б - водозаборная часть сливного шланга; в - стоя слева;</w:t>
            </w:r>
          </w:p>
          <w:p w:rsidR="00101433" w:rsidRDefault="00101433">
            <w:pPr>
              <w:pStyle w:val="HTML"/>
              <w:shd w:val="clear" w:color="auto" w:fill="F8F9FA"/>
              <w:spacing w:line="540" w:lineRule="atLeast"/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</w:pPr>
            <w:r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  <w:t>Линия 1; 2-е дорожное покрытие; 3. песчаное основание; Слив 4 - продольная труба.</w:t>
            </w:r>
          </w:p>
          <w:p w:rsidR="00101433" w:rsidRDefault="00101433">
            <w:pPr>
              <w:spacing w:line="360" w:lineRule="auto"/>
              <w:jc w:val="both"/>
              <w:rPr>
                <w:color w:val="000000"/>
                <w:lang w:eastAsia="en-US"/>
              </w:rPr>
            </w:pPr>
          </w:p>
        </w:tc>
      </w:tr>
    </w:tbl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В результате чего насос для сбора весенних талых вод в состоянии замерзания, выделяемое основание для земляного полотна . Водоотвод не может аккумулировать. Поэтому в местах, где благоприятные гидролого-обоснованные условия ниже, дренажные дренажные дренажные дренажные дренажные дренажные дренажи не применяют. Глубокие пластовые воды используют горизонтальными или продольными дренажными асбоцементными или керамическими трубами в зимнее время с соблюдением проникновения холодного воздуха. (рис. 11.4)</w:t>
      </w:r>
    </w:p>
    <w:p w:rsidR="00101433" w:rsidRDefault="00101433" w:rsidP="00101433">
      <w:pPr>
        <w:jc w:val="both"/>
        <w:rPr>
          <w:lang w:val="kk-KZ"/>
        </w:rPr>
      </w:pPr>
    </w:p>
    <w:p w:rsidR="00101433" w:rsidRDefault="00101433" w:rsidP="00101433">
      <w:pPr>
        <w:rPr>
          <w:b/>
          <w:lang w:val="kk-KZ"/>
        </w:rPr>
      </w:pPr>
      <w:r>
        <w:rPr>
          <w:b/>
          <w:lang w:val="kk-KZ"/>
        </w:rPr>
        <w:t xml:space="preserve">                                                1</w:t>
      </w:r>
      <w:r>
        <w:rPr>
          <w:b/>
        </w:rPr>
        <w:t>1</w:t>
      </w:r>
      <w:r>
        <w:rPr>
          <w:b/>
          <w:lang w:val="kk-KZ"/>
        </w:rPr>
        <w:t>.3 Дорожные канавы</w:t>
      </w:r>
    </w:p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Дорожные канавы рассчитываются по равновесию однородного движения жидкости. Если длина оврага невысокая, то ее расчет берется по расходному значению, по сечению влажной совокупности расчетной территории.  В очень длинных канавах или при большой площади, сточная вода, систематически разделяет длину канав в территории на части и рассчитывается по расходу каждой территории. </w:t>
      </w:r>
    </w:p>
    <w:p w:rsidR="00101433" w:rsidRDefault="00101433" w:rsidP="00101433">
      <w:pPr>
        <w:jc w:val="both"/>
        <w:rPr>
          <w:lang w:val="kk-KZ"/>
        </w:rPr>
      </w:pP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 (11.1)</w:t>
      </w:r>
      <w:r>
        <w:rPr>
          <w:color w:val="000000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Q</m:t>
            </m:r>
          </m:e>
          <m:sub>
            <m:r>
              <w:rPr>
                <w:rFonts w:ascii="Cambria Math" w:hAnsi="Cambria Math"/>
              </w:rPr>
              <m:t>пс</m:t>
            </m:r>
          </m:sub>
        </m:sSub>
        <m:r>
          <w:rPr>
            <w:rFonts w:ascii="Cambria Math" w:hAnsi="Cambria Math"/>
            <w:lang w:val="kk-KZ"/>
          </w:rPr>
          <m:t>=87,5</m:t>
        </m:r>
        <m:sSub>
          <m:sSubPr>
            <m:ctrlPr>
              <w:rPr>
                <w:rFonts w:ascii="Cambria Math" w:hAns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α</m:t>
            </m:r>
          </m:e>
          <m:sub>
            <m:r>
              <w:rPr>
                <w:rFonts w:ascii="Cambria Math" w:hAnsi="Cambria Math"/>
                <w:lang w:val="kk-KZ"/>
              </w:rPr>
              <m:t>сағ</m:t>
            </m:r>
          </m:sub>
        </m:sSub>
        <m:r>
          <w:rPr>
            <w:rFonts w:ascii="Cambria Math" w:hAnsi="Cambria Math"/>
            <w:lang w:val="en-US"/>
          </w:rPr>
          <m:t>Fαφ</m:t>
        </m:r>
      </m:oMath>
    </w:p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α</m:t>
            </m:r>
          </m:e>
          <m:sub>
            <m:r>
              <w:rPr>
                <w:rFonts w:ascii="Cambria Math" w:hAnsi="Cambria Math"/>
                <w:lang w:val="kk-KZ"/>
              </w:rPr>
              <m:t>сағ</m:t>
            </m:r>
          </m:sub>
        </m:sSub>
      </m:oMath>
      <w:r>
        <w:rPr>
          <w:lang w:val="kk-KZ"/>
        </w:rPr>
        <w:t xml:space="preserve"> - часовая продолжительность канав, мм/мин определяется по графику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</w:t>
      </w:r>
      <m:oMath>
        <m:r>
          <w:rPr>
            <w:rFonts w:ascii="Cambria Math" w:hAnsi="Cambria Math"/>
            <w:lang w:val="kk-KZ"/>
          </w:rPr>
          <m:t>F</m:t>
        </m:r>
      </m:oMath>
      <w:r>
        <w:rPr>
          <w:lang w:val="kk-KZ"/>
        </w:rPr>
        <w:t xml:space="preserve"> - глубина накопителя воды, как правило, определяется по масштабу карты 1:25000 -1: 50000;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</w:t>
      </w:r>
      <m:oMath>
        <m:r>
          <w:rPr>
            <w:rFonts w:ascii="Cambria Math" w:hAnsi="Cambria Math"/>
            <w:lang w:val="en-US"/>
          </w:rPr>
          <m:t>α</m:t>
        </m:r>
      </m:oMath>
      <w:r>
        <w:rPr>
          <w:lang w:val="kk-KZ"/>
        </w:rPr>
        <w:t xml:space="preserve"> - коэффициент потока;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 </w:t>
      </w:r>
      <m:oMath>
        <m:r>
          <w:rPr>
            <w:rFonts w:ascii="Cambria Math" w:hAnsi="Cambria Math"/>
            <w:lang w:val="kk-KZ"/>
          </w:rPr>
          <m:t>φ</m:t>
        </m:r>
      </m:oMath>
      <w:r>
        <w:rPr>
          <w:lang w:val="kk-KZ"/>
        </w:rPr>
        <w:t xml:space="preserve">- коэффициент редукции; для полного потока  </w:t>
      </w:r>
      <m:oMath>
        <m:sSub>
          <m:sSubPr>
            <m:ctrlPr>
              <w:rPr>
                <w:rFonts w:ascii="Cambria Math" w:hAnsi="Cambria Math"/>
                <w:i/>
                <w:lang w:val="kk-KZ"/>
              </w:rPr>
            </m:ctrlPr>
          </m:sSubPr>
          <m:e>
            <m:r>
              <w:rPr>
                <w:rFonts w:ascii="Cambria Math" w:hAnsi="Cambria Math"/>
                <w:lang w:val="kk-KZ"/>
              </w:rPr>
              <m:t>φ</m:t>
            </m:r>
          </m:e>
          <m:sub>
            <m:r>
              <w:rPr>
                <w:rFonts w:ascii="Cambria Math" w:hAnsi="Cambria Math"/>
                <w:lang w:val="kk-KZ"/>
              </w:rPr>
              <m:t>пс</m:t>
            </m:r>
          </m:sub>
        </m:sSub>
        <m:r>
          <w:rPr>
            <w:rFonts w:ascii="Cambria Math" w:hAnsi="Cambria Math"/>
            <w:lang w:val="kk-KZ"/>
          </w:rPr>
          <m:t>=1</m:t>
        </m:r>
      </m:oMath>
    </w:p>
    <w:p w:rsidR="00101433" w:rsidRDefault="00101433" w:rsidP="00101433">
      <w:pPr>
        <w:jc w:val="both"/>
        <w:rPr>
          <w:lang w:val="kk-KZ"/>
        </w:rPr>
      </w:pPr>
      <w:r>
        <w:rPr>
          <w:lang w:val="kk-KZ"/>
        </w:rPr>
        <w:t xml:space="preserve">     Площадь воды, проходящей в нижнюю канаву, определяется по половине ширины дороги и длине территории; в верхней части канавы вода протекает не только по ширине дороги, но и по горным канавам, а при его отсутствии-по плану контуры являются горизонтальными ( рис. 11.5)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t xml:space="preserve">    При выборе вида повышения прочности канав учитывается гидравлический расчет.</w:t>
      </w:r>
    </w:p>
    <w:p w:rsidR="00101433" w:rsidRDefault="00101433" w:rsidP="00101433">
      <w:pPr>
        <w:rPr>
          <w:lang w:val="kk-KZ"/>
        </w:rPr>
      </w:pPr>
      <w:r>
        <w:rPr>
          <w:lang w:val="kk-KZ"/>
        </w:rPr>
        <w:lastRenderedPageBreak/>
        <w:t xml:space="preserve">      Как правило, не применяют повышение прочности на уклоне канав с дном 5-10%. В больших уклонах предусматривается обеспечение высокой устойчивости.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328"/>
        <w:gridCol w:w="3600"/>
      </w:tblGrid>
      <w:tr w:rsidR="00101433" w:rsidTr="00101433">
        <w:tc>
          <w:tcPr>
            <w:tcW w:w="5328" w:type="dxa"/>
            <w:hideMark/>
          </w:tcPr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2400300" cy="16002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hideMark/>
          </w:tcPr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color w:val="000000"/>
                <w:lang w:val="kk-KZ" w:eastAsia="en-US"/>
              </w:rPr>
              <w:t>Рисунок 11.5 схема мини-сауна:</w:t>
            </w:r>
          </w:p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color w:val="000000"/>
                <w:lang w:val="kk-KZ" w:eastAsia="en-US"/>
              </w:rPr>
              <w:t>1-общая водозаборная площадка; 2-местные водозаборные площадки.</w:t>
            </w:r>
          </w:p>
        </w:tc>
      </w:tr>
    </w:tbl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rPr>
          <w:lang w:val="kk-KZ"/>
        </w:rPr>
      </w:pP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    Кроме того, используется глинистый бетон или обрабатывает основу с использованием вяжущих материалов.</w:t>
      </w: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>Винторез использует с целью повышения прочности уклона. Болторез допускается применять при глубине канав 1,0 м.</w:t>
      </w: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>При глубине менее 1,0 м на дно укладывают щебень. Толщина щебня-8-1, 0 м (рис. 11.6)</w:t>
      </w:r>
    </w:p>
    <w:p w:rsidR="00101433" w:rsidRDefault="00101433" w:rsidP="00101433">
      <w:pPr>
        <w:rPr>
          <w:szCs w:val="1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576"/>
        <w:gridCol w:w="5779"/>
      </w:tblGrid>
      <w:tr w:rsidR="00101433" w:rsidTr="00101433">
        <w:tc>
          <w:tcPr>
            <w:tcW w:w="0" w:type="auto"/>
            <w:hideMark/>
          </w:tcPr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2124075" cy="1962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color w:val="000000"/>
                <w:lang w:val="kk-KZ" w:eastAsia="en-US"/>
              </w:rPr>
              <w:t>Рисунок 11.6 передача горных боковых арок и кюветов:</w:t>
            </w:r>
          </w:p>
          <w:p w:rsidR="00101433" w:rsidRDefault="00101433">
            <w:pPr>
              <w:spacing w:line="360" w:lineRule="auto"/>
              <w:jc w:val="both"/>
              <w:rPr>
                <w:color w:val="000000"/>
                <w:lang w:val="kk-KZ" w:eastAsia="en-US"/>
              </w:rPr>
            </w:pPr>
            <w:r>
              <w:rPr>
                <w:color w:val="000000"/>
                <w:lang w:val="kk-KZ" w:eastAsia="en-US"/>
              </w:rPr>
              <w:t>а - ширма; б-кладка камнем; в - прочностным грунтом; 1-толщиной 8-10см. 3-2, 5х2, 5х25см; 4 - толщина 12-16 см. каменный слой; 5-3-6 см мхи, слой соломы; 6 - толщина 5-10см. почвенный слой, обработанный вяжущим.</w:t>
            </w:r>
          </w:p>
        </w:tc>
      </w:tr>
    </w:tbl>
    <w:p w:rsidR="00101433" w:rsidRDefault="00101433" w:rsidP="00101433">
      <w:pPr>
        <w:spacing w:line="360" w:lineRule="auto"/>
        <w:jc w:val="both"/>
        <w:rPr>
          <w:color w:val="000000"/>
          <w:lang w:val="kk-KZ"/>
        </w:rPr>
      </w:pPr>
      <w:r>
        <w:rPr>
          <w:color w:val="000000"/>
          <w:lang w:val="kk-KZ"/>
        </w:rPr>
        <w:t xml:space="preserve">    </w:t>
      </w: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Отдельный шум должен быть чистым, уплотненным . Размер отдельного дерна должен быть не менее 20х25 см , толщиной не менее 6-8 см. Располагаются вместе с шитьем ворона. </w:t>
      </w: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    Снижение уровня грунтовых вод с использованием отвала при наличии высокого уровня оснований в строительстве местности не требуется . Иногда изменить положение расположения насыпи невозможно. В этом случае предотвращением увлажнения дорожной одежды является снижение базовой воды земляного полотна. Для этого вертикально расположенная дрена должна быть помещена в глубину, основа должна обеспечивать снижение уровня воды.</w:t>
      </w: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 Если дрена находится ближе к усилителю воды, то один дерен считается достаточным. Через дрену территория начинает формироваться постепенно. </w:t>
      </w:r>
      <w:r>
        <w:rPr>
          <w:szCs w:val="18"/>
          <w:lang w:val="kk-KZ"/>
        </w:rPr>
        <w:lastRenderedPageBreak/>
        <w:t>Дрендерді называют такие усовершенствованные. На глубинных основаниях применяются два дрена, которые располагают симметрично с обеих сторон пути. Для определения необходимой глубины для дренирования рассчитывают утечку по дрену и его сечение, создавая Кривое сопротивление. Каждый дрен располагается на определенном расстоянии, сохраняя определенные интервалы, называем радиус действия дренажа.</w:t>
      </w:r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</w:t>
      </w:r>
      <m:oMath>
        <m:r>
          <w:rPr>
            <w:rFonts w:ascii="Cambria Math" w:hAnsi="Cambria Math"/>
            <w:lang w:val="kk-KZ"/>
          </w:rPr>
          <m:t xml:space="preserve">R=H : </m:t>
        </m:r>
        <m:func>
          <m:funcPr>
            <m:ctrlPr>
              <w:rPr>
                <w:rFonts w:ascii="Cambria Math" w:hAnsi="Cambria Math"/>
                <w:i/>
                <w:lang w:val="kk-KZ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kk-KZ"/>
              </w:rPr>
              <m:t>tan</m:t>
            </m:r>
          </m:fName>
          <m:e>
            <m:r>
              <w:rPr>
                <w:rFonts w:ascii="Cambria Math" w:hAnsi="Cambria Math"/>
                <w:lang w:val="kk-KZ"/>
              </w:rPr>
              <m:t>α</m:t>
            </m:r>
          </m:e>
        </m:func>
      </m:oMath>
    </w:p>
    <w:p w:rsidR="00101433" w:rsidRDefault="00101433" w:rsidP="00101433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Где </w:t>
      </w:r>
      <m:oMath>
        <m:func>
          <m:funcPr>
            <m:ctrlPr>
              <w:rPr>
                <w:rFonts w:ascii="Cambria Math" w:hAnsi="Cambria Math"/>
                <w:i/>
                <w:lang w:val="kk-KZ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kk-KZ"/>
              </w:rPr>
              <m:t>tan</m:t>
            </m:r>
          </m:fName>
          <m:e>
            <m:r>
              <w:rPr>
                <w:rFonts w:ascii="Cambria Math" w:hAnsi="Cambria Math"/>
                <w:lang w:val="kk-KZ"/>
              </w:rPr>
              <m:t>α</m:t>
            </m:r>
          </m:e>
        </m:func>
        <m:r>
          <w:rPr>
            <w:rFonts w:ascii="Cambria Math" w:hAnsi="Cambria Math"/>
            <w:lang w:val="kk-KZ"/>
          </w:rPr>
          <m:t xml:space="preserve"> </m:t>
        </m:r>
      </m:oMath>
      <w:r>
        <w:rPr>
          <w:szCs w:val="18"/>
          <w:lang w:val="kk-KZ"/>
        </w:rPr>
        <w:t>- тангенес на гибком угле, что зависит от почвенного основания.</w:t>
      </w:r>
    </w:p>
    <w:p w:rsidR="00101433" w:rsidRDefault="00101433" w:rsidP="00101433">
      <w:pPr>
        <w:jc w:val="both"/>
        <w:rPr>
          <w:szCs w:val="18"/>
          <w:lang w:val="kk-KZ"/>
        </w:rPr>
      </w:pPr>
    </w:p>
    <w:p w:rsidR="00101433" w:rsidRDefault="00101433" w:rsidP="00101433">
      <w:pPr>
        <w:jc w:val="both"/>
        <w:rPr>
          <w:szCs w:val="18"/>
          <w:lang w:val="kk-KZ"/>
        </w:rPr>
      </w:pPr>
    </w:p>
    <w:p w:rsidR="00101433" w:rsidRDefault="00101433" w:rsidP="00101433">
      <w:pPr>
        <w:jc w:val="both"/>
        <w:rPr>
          <w:b/>
          <w:bCs/>
          <w:lang w:val="kk-KZ"/>
        </w:rPr>
      </w:pPr>
    </w:p>
    <w:p w:rsidR="000F37CF" w:rsidRPr="00101433" w:rsidRDefault="000F37CF">
      <w:pPr>
        <w:rPr>
          <w:lang w:val="kk-KZ"/>
        </w:rPr>
      </w:pPr>
    </w:p>
    <w:sectPr w:rsidR="000F37CF" w:rsidRPr="00101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1A7"/>
    <w:rsid w:val="000F37CF"/>
    <w:rsid w:val="00101433"/>
    <w:rsid w:val="00DC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941A6"/>
  <w15:chartTrackingRefBased/>
  <w15:docId w15:val="{4C6F4EB4-2908-4D35-B9BF-02150EB85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43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10143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0143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101433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101433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0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1302</Words>
  <Characters>7422</Characters>
  <Application>Microsoft Office Word</Application>
  <DocSecurity>0</DocSecurity>
  <Lines>61</Lines>
  <Paragraphs>17</Paragraphs>
  <ScaleCrop>false</ScaleCrop>
  <Company/>
  <LinksUpToDate>false</LinksUpToDate>
  <CharactersWithSpaces>8707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2025-03-25T22:02:00Z</dcterms:created>
  <dcterms:modified xsi:type="dcterms:W3CDTF">2025-03-25T22:03:00Z</dcterms:modified>
</cp:coreProperties>
</file>